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163" w:rsidRPr="00A31D49" w:rsidRDefault="00A73163" w:rsidP="00A73163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A31D49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A73163" w:rsidRPr="00A31D49" w:rsidRDefault="00A73163" w:rsidP="00A73163">
      <w:pPr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A31D49">
        <w:rPr>
          <w:rFonts w:ascii="Tahoma" w:eastAsia="Times New Roman" w:hAnsi="Tahoma" w:cs="Tahoma"/>
        </w:rPr>
        <w:t xml:space="preserve">На </w:t>
      </w:r>
      <w:r w:rsidRPr="0037385D">
        <w:rPr>
          <w:rFonts w:ascii="Tahoma" w:eastAsia="Times New Roman" w:hAnsi="Tahoma" w:cs="Tahoma"/>
        </w:rPr>
        <w:t>выполнение работ по установке</w:t>
      </w:r>
      <w:r>
        <w:rPr>
          <w:rFonts w:ascii="Tahoma" w:eastAsia="Times New Roman" w:hAnsi="Tahoma" w:cs="Tahoma"/>
        </w:rPr>
        <w:t>, замене и</w:t>
      </w:r>
      <w:r w:rsidRPr="0037385D">
        <w:rPr>
          <w:rFonts w:ascii="Tahoma" w:eastAsia="Times New Roman" w:hAnsi="Tahoma" w:cs="Tahoma"/>
        </w:rPr>
        <w:t xml:space="preserve"> наладке интеллектуальных приборов учета и трансформаторов тока на территории </w:t>
      </w:r>
      <w:r>
        <w:rPr>
          <w:rFonts w:ascii="Tahoma" w:eastAsia="Times New Roman" w:hAnsi="Tahoma" w:cs="Tahoma"/>
        </w:rPr>
        <w:t>г. Ижевска Удмуртской Р</w:t>
      </w:r>
      <w:r w:rsidRPr="0037385D">
        <w:rPr>
          <w:rFonts w:ascii="Tahoma" w:eastAsia="Times New Roman" w:hAnsi="Tahoma" w:cs="Tahoma"/>
        </w:rPr>
        <w:t>еспублики</w:t>
      </w:r>
      <w:r w:rsidRPr="00A31D49">
        <w:rPr>
          <w:rFonts w:ascii="Tahoma" w:eastAsia="Times New Roman" w:hAnsi="Tahoma" w:cs="Tahoma"/>
        </w:rPr>
        <w:t xml:space="preserve">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3604"/>
        <w:gridCol w:w="5796"/>
      </w:tblGrid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604" w:type="dxa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796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796" w:type="dxa"/>
            <w:hideMark/>
          </w:tcPr>
          <w:p w:rsidR="00A73163" w:rsidRPr="00A31D49" w:rsidRDefault="00A73163" w:rsidP="009A792A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7004E2">
              <w:rPr>
                <w:rFonts w:ascii="Tahoma" w:hAnsi="Tahoma" w:cs="Tahoma"/>
                <w:sz w:val="20"/>
                <w:szCs w:val="20"/>
              </w:rPr>
              <w:t>Выполнение работ по  установке</w:t>
            </w:r>
            <w:r>
              <w:rPr>
                <w:rFonts w:ascii="Tahoma" w:hAnsi="Tahoma" w:cs="Tahoma"/>
                <w:sz w:val="20"/>
                <w:szCs w:val="20"/>
              </w:rPr>
              <w:t>, замене</w:t>
            </w:r>
            <w:r w:rsidRPr="007004E2">
              <w:rPr>
                <w:rFonts w:ascii="Tahoma" w:hAnsi="Tahoma" w:cs="Tahoma"/>
                <w:sz w:val="20"/>
                <w:szCs w:val="20"/>
              </w:rPr>
              <w:t xml:space="preserve"> и наладке интеллектуальных приборов учёта (далее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) и трансформаторов тока (далее </w:t>
            </w:r>
            <w:proofErr w:type="spellStart"/>
            <w:r w:rsidRPr="007004E2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7004E2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3931E0">
              <w:rPr>
                <w:rFonts w:ascii="Tahoma" w:hAnsi="Tahoma" w:cs="Tahoma"/>
                <w:sz w:val="20"/>
                <w:szCs w:val="20"/>
              </w:rPr>
              <w:t xml:space="preserve">на территории </w:t>
            </w:r>
            <w:r>
              <w:rPr>
                <w:rFonts w:ascii="Tahoma" w:hAnsi="Tahoma" w:cs="Tahoma"/>
                <w:sz w:val="20"/>
                <w:szCs w:val="20"/>
              </w:rPr>
              <w:t>г. Ижевска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796" w:type="dxa"/>
          </w:tcPr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67D32">
              <w:rPr>
                <w:rFonts w:ascii="Tahoma" w:hAnsi="Tahoma" w:cs="Tahoma"/>
                <w:sz w:val="20"/>
                <w:szCs w:val="20"/>
              </w:rPr>
              <w:t xml:space="preserve">Многоквартирные дома (далее </w:t>
            </w:r>
            <w:proofErr w:type="spellStart"/>
            <w:r w:rsidRPr="00D67D32">
              <w:rPr>
                <w:rFonts w:ascii="Tahoma" w:hAnsi="Tahoma" w:cs="Tahoma"/>
                <w:sz w:val="20"/>
                <w:szCs w:val="20"/>
              </w:rPr>
              <w:t>МКД</w:t>
            </w:r>
            <w:proofErr w:type="spellEnd"/>
            <w:r w:rsidRPr="00D67D32">
              <w:rPr>
                <w:rFonts w:ascii="Tahoma" w:hAnsi="Tahoma" w:cs="Tahoma"/>
                <w:sz w:val="20"/>
                <w:szCs w:val="20"/>
              </w:rPr>
              <w:t>) на территории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г. Ижевска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796" w:type="dxa"/>
          </w:tcPr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Сроки выполнения работ определяются в Заявках на выполнение работ с учетом общего срока выполнения работ. </w:t>
            </w:r>
          </w:p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 xml:space="preserve">начало выполнения </w:t>
            </w:r>
            <w:r>
              <w:rPr>
                <w:rFonts w:ascii="Tahoma" w:hAnsi="Tahoma" w:cs="Tahoma"/>
                <w:sz w:val="20"/>
                <w:szCs w:val="20"/>
              </w:rPr>
              <w:t>работ - не позднее 5 (пяти) рабочих дней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с момента заключения Сторонами Договора.</w:t>
            </w:r>
          </w:p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окончание выполнения работ – не позднее «</w:t>
            </w:r>
            <w:r w:rsidR="00F24165">
              <w:rPr>
                <w:rFonts w:ascii="Tahoma" w:hAnsi="Tahoma" w:cs="Tahoma"/>
                <w:sz w:val="20"/>
                <w:szCs w:val="20"/>
              </w:rPr>
              <w:t>31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F24165">
              <w:rPr>
                <w:rFonts w:ascii="Tahoma" w:hAnsi="Tahoma" w:cs="Tahoma"/>
                <w:sz w:val="20"/>
                <w:szCs w:val="20"/>
              </w:rPr>
              <w:t>декабря</w:t>
            </w:r>
            <w:r w:rsidRPr="00A31D4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2024 г.</w:t>
            </w:r>
          </w:p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A31D49">
              <w:rPr>
                <w:rFonts w:ascii="Tahoma" w:hAnsi="Tahoma" w:cs="Tahoma"/>
                <w:sz w:val="20"/>
                <w:szCs w:val="20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604" w:type="dxa"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</w:tc>
        <w:tc>
          <w:tcPr>
            <w:tcW w:w="5796" w:type="dxa"/>
          </w:tcPr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</w:t>
            </w:r>
            <w:proofErr w:type="gramStart"/>
            <w:r w:rsidRPr="00FD562B"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ведомостью объемов работ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перечнем необходимых товарно-материальных ценностях (далее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ТМЦ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) (Приложение 3 к Техническому заданию).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 (пломба-наклейка);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объекте не выполняются, Подрядчик обязан произвести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отправки в течение одного рабочего дня Заказчику скан-копии Акта и фото на электронный адрес Подрядчика по указанному перечню электронных адресов Заказчика. Заказчик вправе заменить такой объект в графике производства работ.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Заказчик, имеет право пересматривать стоимость работ (договора) в сторону уменьшения:</w:t>
            </w:r>
          </w:p>
          <w:p w:rsidR="00A73163" w:rsidRPr="00FD562B" w:rsidRDefault="00A73163" w:rsidP="009A792A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A73163" w:rsidRPr="00FD562B" w:rsidRDefault="00A73163" w:rsidP="009A792A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 в случае нарушения Подрядчиком исполнения обязательств по Договору.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при проведении работ несет всю полноту ответственности: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за определение необходимости замены прибора учета электрической энергии (за определение выхода срока </w:t>
            </w:r>
            <w:proofErr w:type="spellStart"/>
            <w:r w:rsidR="00C212EB">
              <w:rPr>
                <w:rFonts w:ascii="Tahoma" w:hAnsi="Tahoma" w:cs="Tahoma"/>
                <w:sz w:val="20"/>
                <w:szCs w:val="20"/>
              </w:rPr>
              <w:t>межповерочного</w:t>
            </w:r>
            <w:proofErr w:type="spellEnd"/>
            <w:r w:rsidR="00C212EB">
              <w:rPr>
                <w:rFonts w:ascii="Tahoma" w:hAnsi="Tahoma" w:cs="Tahoma"/>
                <w:sz w:val="20"/>
                <w:szCs w:val="20"/>
              </w:rPr>
              <w:t xml:space="preserve"> интервала (Далее - </w:t>
            </w:r>
            <w:proofErr w:type="spellStart"/>
            <w:r w:rsidR="00C212EB">
              <w:rPr>
                <w:rFonts w:ascii="Tahoma" w:hAnsi="Tahoma" w:cs="Tahoma"/>
                <w:sz w:val="20"/>
                <w:szCs w:val="20"/>
              </w:rPr>
              <w:t>МПИ</w:t>
            </w:r>
            <w:proofErr w:type="spellEnd"/>
            <w:r w:rsidR="00C212EB">
              <w:rPr>
                <w:rFonts w:ascii="Tahoma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выхода срока эксплуатации, выхода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из строя и т.д.)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>- за нарушение правил техники безопасности и охраны труда при выполнении работ.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FD562B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</w:t>
            </w:r>
            <w:r w:rsidR="00B024FE">
              <w:rPr>
                <w:rFonts w:ascii="Tahoma" w:hAnsi="Tahoma" w:cs="Tahoma"/>
                <w:sz w:val="20"/>
                <w:szCs w:val="20"/>
              </w:rPr>
              <w:t xml:space="preserve"> (при ее наличии)</w:t>
            </w:r>
            <w:r w:rsidRPr="00FD562B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на период не менее 90 календарных дней с момента выполнения работ по установке, наладке и замене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ТТ. Информацию о точном адресе, где потребитель в течении 90 календарных дней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796" w:type="dxa"/>
          </w:tcPr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 процессе подготовки к выполнению работ Подрядчик обязан: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ТСЖ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, управляющими компаниями многоквартирных домов и т.д.).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>необходимости, по согласованию с Заказчиком, формирует и направляет официальные письма от лица Заказчика.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Заказчик передает Подрядчику с составлением Акта приема-передачи (акт по форме № ОС-15 утвержден Постановлением Госкомстата России от 21.01.2003 №7) интеллектуальные приборы учета электрической энергии,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пломбировочную продукцию необходимые для выполнения Работ. Передача интеллектуальных приборов учета электрической энергии,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 окончании работ по Договору интеллектуальные приборы учета электрической энергии,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Перед монтажом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поверителя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зажимов; проверку целостности вторичной цепи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путём измерения сопротивления на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клеммных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зажимах для исключения заводского брака и т.д.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случае выявления бракованных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Подрядчиком либо Заказчиком в момент приемки работ, Подрядчик организует транспортировку таких приборов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объеме соответствующему количеству бракованных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ТТ.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случае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помещение. Подрядчик по факту составления Акта 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Акта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перечень электронных адресов Заказчика</w:t>
            </w:r>
            <w:hyperlink r:id="rId5" w:history="1"/>
            <w:r w:rsidRPr="00FD562B">
              <w:rPr>
                <w:rFonts w:ascii="Tahoma" w:hAnsi="Tahoma" w:cs="Tahoma"/>
                <w:sz w:val="20"/>
                <w:szCs w:val="20"/>
              </w:rPr>
              <w:t>. Заказчик вправе исключить объект или заменить на другой.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случае если Подрядчиком определено на объекте отсутствие технической возможности для установки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в течение одного рабочего дня уведомляет Заказчика посредством отправки скан-копии Акта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93151A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</w:t>
            </w:r>
            <w:hyperlink r:id="rId6" w:history="1"/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При наличии на объекте прибора учета электрической энергии или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, пригодного к коммерческим расчетам, Подрядчик работы по замене такого прибора учета или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не выполняет, производит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существующего прибора учета электрической энергии или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(При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номинал трансформаторов тока, дату изготовления и поверки прибора учета и трансформатора тока. 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FD562B">
              <w:rPr>
                <w:rFonts w:ascii="Tahoma" w:hAnsi="Tahoma" w:cs="Tahoma"/>
                <w:sz w:val="20"/>
                <w:szCs w:val="20"/>
              </w:rPr>
              <w:t xml:space="preserve">, а также направляет материалы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</w:t>
            </w:r>
            <w:r>
              <w:rPr>
                <w:rFonts w:ascii="Tahoma" w:hAnsi="Tahoma" w:cs="Tahoma"/>
                <w:sz w:val="20"/>
                <w:szCs w:val="20"/>
              </w:rPr>
              <w:t>нформацию в монтажной ведомости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Установка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proofErr w:type="gramStart"/>
            <w:r w:rsidRPr="00FD562B">
              <w:rPr>
                <w:rFonts w:ascii="Tahoma" w:hAnsi="Tahoma" w:cs="Tahoma"/>
                <w:sz w:val="20"/>
                <w:szCs w:val="20"/>
              </w:rPr>
              <w:t>/«</w:t>
            </w:r>
            <w:proofErr w:type="gramEnd"/>
            <w:r w:rsidRPr="00FD562B">
              <w:rPr>
                <w:rFonts w:ascii="Tahoma" w:hAnsi="Tahoma" w:cs="Tahoma"/>
                <w:sz w:val="20"/>
                <w:szCs w:val="20"/>
              </w:rPr>
              <w:t>отдача».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При выполнении установки/замены измерительного комплекса (приборы учета электрической энергии или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(Мобильный контроллер), доступ к которому предоставляет Заказчик. Полный объем данных по установленным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должен быть внесен в приложение Заказчика (Мобильный контролер) в течение 2 (двух) рабочих дней после установки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 4 к Техническому заданию).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фотофиксация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), формируемых в процессе деятельности Подрядчика;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пп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 осуществляет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демонтированного и смонтированного оборудования на объектах Заказчика: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фиксирует положения заменяемого прибора учета электрической энергии (одно фото), его текущие показания (одно фото), положение нового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(одно фото) и контроль его опломбирования (два фото) положение заменяемых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(одно фото), положение новых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(одно фото) и контроль их опломбирования (три фото), обязательно должны быть видны номера демонтированного и устанавливаемого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номера устанавливаемых пломб. Фотографии должны быть формата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JPEG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содержать следующие метаданные: дата, время и данные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125 установлен» или «г Ижевск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Холмогорова д 59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125 снят»). Фото предоставляются Заказчику в составе приемо-сдаточной документации разделенные по каталогам в разрезе дат установок/замен.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на период не менее 90 календарных дней с момента выполнения работ по установке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рамках выполнения пусконаладочных работ, направленных на присоединение приборов учета к ИСУ, должны быть выполнены проверки каналов беспроводной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связи между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верхним уровнем системы ИСУ, в том числе: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на предмет наличия зоны покрытия сети сотового оператора, действительной мощности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GSM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радиосигнала на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ИСУ;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на предмет фактического получения ответов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на запросы из системы ИСУ;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на предмет фактической вероятности возможного использования выносных антенн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GSM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радиосигнала и максимально эффективного места их расположения;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на предмет корректности настроек приборов учета.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A73163" w:rsidRPr="00FD562B" w:rsidRDefault="00A73163" w:rsidP="009A79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SIM</w:t>
            </w:r>
            <w:r w:rsidRPr="00FD562B">
              <w:rPr>
                <w:rFonts w:ascii="Tahoma" w:hAnsi="Tahoma" w:cs="Tahoma"/>
                <w:sz w:val="20"/>
                <w:szCs w:val="20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При подключении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Сечение соединительных проводов во вторичных цепях трансформаторов тока расчетного технического учета должны быть не менее 2,5 </w:t>
            </w:r>
            <w:proofErr w:type="spellStart"/>
            <w:proofErr w:type="gram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кв.мм</w:t>
            </w:r>
            <w:proofErr w:type="spellEnd"/>
            <w:proofErr w:type="gram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для меди. Применение алюминиевых проводников запрещается.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Вторичные измерительные цепи электросчётчика трансформаторного должны быть защищены от несанкционированного доступа (измерительная клеммная колодка с возможностью опломбирования).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Приборы учета устанавливаются: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 в этажных щитах;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 в квартирных шкафах учёта при внутриквартирном расположении;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 в выносных шкафах учёта (боксах);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в </w:t>
            </w:r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вводно-распределительных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ВРУ</w:t>
            </w:r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закрытых распределительных устройствах (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ЗРУ</w:t>
            </w:r>
            <w:proofErr w:type="spellEnd"/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открытых распределительных устройствах (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ОРУ</w:t>
            </w:r>
            <w:r w:rsidR="008967CB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A73163" w:rsidRPr="00FD562B" w:rsidRDefault="00A73163" w:rsidP="009A792A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A73163" w:rsidRPr="00FD562B" w:rsidRDefault="00A73163" w:rsidP="009A792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Монтаж всех вновь устанавливаемых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запрещен в случае, если установленный прибор 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не является коммерческим 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учетом (технический учет,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МОП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Лифты и т.д.), а также если установка производится в нежилом помещении электроснабжение которого осуществляется без использования общего имущества в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МКД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или объект где производится замена не является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МКД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. При выявлении Заказчиком вышеописанных в данном пункте случаев монтажа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,</w:t>
            </w:r>
            <w:proofErr w:type="gram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Подрядчик производит демонтаж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, с переустановкой на другой объект, указанный в заявке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FD562B">
              <w:rPr>
                <w:rFonts w:ascii="Tahoma" w:hAnsi="Tahoma" w:cs="Tahoma"/>
                <w:sz w:val="20"/>
                <w:szCs w:val="20"/>
              </w:rPr>
              <w:t xml:space="preserve"> заполненной за предыдущий день формы монтажной и отчётной ведомости  в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Excel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ул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Воровского д 52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кв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2).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подлежат установке в отдельном запирающемся шкафу.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общедомовых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IP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54 по ГОСТ 14254-2015 в антивандальном исполнении.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Общедомовые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При необходимости в установке отдельного шкафа учета для общедомовых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трансформаторного включения необходимо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подключать к измерительным цепям через испытательные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клеммные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Монтаж шкафа учета и/или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выполнить по нормам безопасности от поражения электрическим током и возгорания</w:t>
            </w:r>
            <w:r w:rsidR="00102777">
              <w:rPr>
                <w:rFonts w:ascii="Tahoma" w:eastAsia="Times New Roman" w:hAnsi="Tahoma" w:cs="Tahoma"/>
                <w:sz w:val="20"/>
                <w:szCs w:val="20"/>
              </w:rPr>
              <w:t xml:space="preserve"> (оплата услуг по установке шкафа учета входит </w:t>
            </w:r>
            <w:r w:rsidR="00102777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в стоимость (смету) работ при установке прибора учета вновь)</w:t>
            </w: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A73163" w:rsidRPr="00FD562B" w:rsidRDefault="00A73163" w:rsidP="009A792A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Монтаж оборудования выполнять по нормам безопасности от поражения электрическим током.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по формированию сметной стоимости.</w:t>
            </w:r>
          </w:p>
        </w:tc>
        <w:tc>
          <w:tcPr>
            <w:tcW w:w="5796" w:type="dxa"/>
          </w:tcPr>
          <w:p w:rsidR="006954FD" w:rsidRPr="00CA57C1" w:rsidRDefault="006954FD" w:rsidP="006954FD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Сметную документацию необходимо выполнить в соответствии с Ведомостью работ (см. приложение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</w:t>
            </w:r>
            <w:proofErr w:type="spellStart"/>
            <w:r w:rsidRPr="00CA57C1">
              <w:rPr>
                <w:rFonts w:ascii="Tahoma" w:hAnsi="Tahoma" w:cs="Tahoma"/>
                <w:sz w:val="20"/>
                <w:szCs w:val="20"/>
              </w:rPr>
              <w:t>ФЕР</w:t>
            </w:r>
            <w:proofErr w:type="spellEnd"/>
            <w:r w:rsidRPr="00CA57C1">
              <w:rPr>
                <w:rFonts w:ascii="Tahoma" w:hAnsi="Tahoma" w:cs="Tahoma"/>
                <w:sz w:val="20"/>
                <w:szCs w:val="20"/>
              </w:rPr>
              <w:t xml:space="preserve"> 2020 (в  действующей  редакции на момент составления  сметы)  с пересчетом в текущие цены с помощью индексов изменения  сметной  стоимости утвержденных Минстроем России для  Республики Удмуртия (Письмо Минстроя России от 07.12.2022 г. №65739-ИФ/09 прил.1, прил.7  4 кв.2022 ).</w:t>
            </w:r>
          </w:p>
          <w:p w:rsidR="00A73163" w:rsidRPr="00FD562B" w:rsidRDefault="006954FD" w:rsidP="006954FD">
            <w:pPr>
              <w:widowControl w:val="0"/>
              <w:spacing w:after="120" w:line="240" w:lineRule="auto"/>
              <w:ind w:left="24"/>
              <w:contextualSpacing/>
              <w:jc w:val="both"/>
              <w:rPr>
                <w:rFonts w:ascii="Tahoma" w:hAnsi="Tahoma" w:cs="Tahoma"/>
                <w:kern w:val="24"/>
                <w:sz w:val="20"/>
                <w:szCs w:val="24"/>
              </w:rPr>
            </w:pPr>
            <w:r w:rsidRPr="00CA57C1">
              <w:rPr>
                <w:rFonts w:ascii="Tahoma" w:hAnsi="Tahoma" w:cs="Tahoma"/>
                <w:sz w:val="20"/>
                <w:szCs w:val="20"/>
              </w:rPr>
              <w:t xml:space="preserve">При составлении сметной документации в обязательном порядке применить понижающие коэффициенты, </w:t>
            </w:r>
            <w:r w:rsidRPr="00CA57C1">
              <w:rPr>
                <w:rFonts w:ascii="Tahoma" w:hAnsi="Tahoma" w:cs="Tahoma"/>
                <w:sz w:val="20"/>
              </w:rPr>
              <w:t>которые не должны превышать</w:t>
            </w:r>
            <w:r w:rsidRPr="00CA57C1">
              <w:rPr>
                <w:rFonts w:ascii="Tahoma" w:hAnsi="Tahoma" w:cs="Tahoma"/>
                <w:i/>
                <w:sz w:val="20"/>
                <w:lang w:eastAsia="en-US"/>
              </w:rPr>
              <w:t xml:space="preserve"> </w:t>
            </w:r>
            <w:r w:rsidRPr="00CA57C1">
              <w:rPr>
                <w:rFonts w:ascii="Tahoma" w:hAnsi="Tahoma" w:cs="Tahoma"/>
                <w:sz w:val="20"/>
                <w:szCs w:val="20"/>
              </w:rPr>
              <w:t>коэффициенты, указанные в Локально-сметных расчетах (см. приложение №5 к документации о закупке).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604" w:type="dxa"/>
          </w:tcPr>
          <w:p w:rsidR="00A73163" w:rsidRPr="00A31D49" w:rsidRDefault="00A73163" w:rsidP="009A792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к качеству выполнения работ. </w:t>
            </w:r>
            <w:r w:rsidRPr="00A31D49">
              <w:rPr>
                <w:rFonts w:eastAsia="Times New Roman" w:cs="Tahoma"/>
                <w:szCs w:val="20"/>
              </w:rPr>
              <w:t>Применяемые стандарты, СНиПы и прочие правила.</w:t>
            </w:r>
          </w:p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796" w:type="dxa"/>
          </w:tcPr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ГОСТ 7746 - 2015 «Трансформаторы тока. Общие технические условия»;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ТР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ТС 020/2011 «Электромагнитная совместимость технических средств»;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ГОСТ Р 8.563–2009.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ГСИ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«Методики (методы) измерений»;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ГОСТ Р 8.596-2002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ГСИ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«Метрологическое обеспечение измерительных систем. Основные положения»;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34.09.101-94. Типовая инструкция по учету электроэнергии при ее производстве, передаче и распределении;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34.11.333-97. «Типовая методика выполнения измерений количества электрической энергии»;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34.11.334-97. «Типовая методика выполнения измерений электрической мощности»;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РД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A73163" w:rsidRPr="00FD562B" w:rsidRDefault="00A73163" w:rsidP="009A792A">
            <w:pPr>
              <w:spacing w:before="240"/>
              <w:ind w:left="2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МИ 2168-91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ГСИ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ИИС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«Методика расчета метро</w:t>
            </w:r>
            <w:r w:rsidRPr="00FD562B">
              <w:rPr>
                <w:rFonts w:ascii="Tahoma" w:hAnsi="Tahoma" w:cs="Tahoma"/>
                <w:sz w:val="20"/>
                <w:szCs w:val="20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МИ 2439-97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ГСИ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МИ 2440-97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ГСИ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ПУЭ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«Правила устройства электроустановок. Изд.7. с дополнениями и изменениями»;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96" w:type="dxa"/>
          </w:tcPr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Монтаж оборудования выполняется по нормам безопасности от поражения электрическим током.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НТД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):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ПУЭ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«Правила устройства электроустановок. Изд.7. с дополнениями и изменениями»;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Руководящими документами;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Отраслевыми стандартами и др. документами.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ПУЭ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ПТЭ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(действующее издание);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>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A73163" w:rsidRPr="00FD562B" w:rsidRDefault="00A73163" w:rsidP="009A792A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eastAsia="Arial Unicode MS" w:cs="Times New Roman"/>
                <w:szCs w:val="20"/>
              </w:rPr>
            </w:pPr>
            <w:r w:rsidRPr="00A31D49">
              <w:rPr>
                <w:rFonts w:eastAsia="Arial Unicode MS" w:cs="Times New Roman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796" w:type="dxa"/>
            <w:vAlign w:val="center"/>
            <w:hideMark/>
          </w:tcPr>
          <w:p w:rsidR="00A73163" w:rsidRPr="00FD562B" w:rsidRDefault="00A73163" w:rsidP="009A792A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Работы выполняются с использованием оборудования и материалов Подрядчика (за исключением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ТТ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и пломбировочной продукции);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A73163" w:rsidRPr="00FD562B" w:rsidRDefault="00A73163" w:rsidP="009A792A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Контроль и приемка выполненных работ</w:t>
            </w:r>
          </w:p>
        </w:tc>
        <w:tc>
          <w:tcPr>
            <w:tcW w:w="5796" w:type="dxa"/>
            <w:hideMark/>
          </w:tcPr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A73163" w:rsidRPr="00FD562B" w:rsidRDefault="00A73163" w:rsidP="009A792A">
            <w:pPr>
              <w:widowControl w:val="0"/>
              <w:spacing w:after="120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Подрядчик, за исключением случаев, когда в недостатках Работы экспертизой установлена вина Заказчика. 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A73163" w:rsidRPr="00FD562B" w:rsidRDefault="00A73163" w:rsidP="009A792A">
            <w:pPr>
              <w:widowControl w:val="0"/>
              <w:spacing w:after="120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FD562B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</w:tcPr>
          <w:p w:rsidR="00A73163" w:rsidRPr="00A31D49" w:rsidRDefault="00A73163" w:rsidP="009A792A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5796" w:type="dxa"/>
            <w:hideMark/>
          </w:tcPr>
          <w:p w:rsidR="00A73163" w:rsidRPr="00FD562B" w:rsidRDefault="00A73163" w:rsidP="009A792A">
            <w:pPr>
              <w:spacing w:after="0" w:line="240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A73163" w:rsidRPr="00FD562B" w:rsidRDefault="00480FD1" w:rsidP="00A73163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А</w:t>
            </w:r>
            <w:r w:rsidR="00A73163" w:rsidRPr="00FD562B">
              <w:rPr>
                <w:rFonts w:ascii="Tahoma" w:hAnsi="Tahoma" w:cs="Tahoma"/>
                <w:sz w:val="20"/>
                <w:szCs w:val="20"/>
              </w:rPr>
              <w:t>кты</w:t>
            </w:r>
            <w:r>
              <w:rPr>
                <w:rFonts w:ascii="Tahoma" w:hAnsi="Tahoma" w:cs="Tahoma"/>
                <w:sz w:val="20"/>
                <w:szCs w:val="20"/>
              </w:rPr>
              <w:t xml:space="preserve"> о приемке</w:t>
            </w:r>
            <w:bookmarkStart w:id="0" w:name="_GoBack"/>
            <w:bookmarkEnd w:id="0"/>
            <w:r w:rsidR="00A73163" w:rsidRPr="00FD562B">
              <w:rPr>
                <w:rFonts w:ascii="Tahoma" w:hAnsi="Tahoma" w:cs="Tahoma"/>
                <w:sz w:val="20"/>
                <w:szCs w:val="20"/>
              </w:rPr>
              <w:t xml:space="preserve"> выполненных Работ (форма №КС-2);</w:t>
            </w:r>
          </w:p>
          <w:p w:rsidR="00A73163" w:rsidRPr="00FD562B" w:rsidRDefault="00A73163" w:rsidP="00A73163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оформленную надлежащим образом монтажную ведомость в формате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а также материалы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демонтированных приборов учета электрической энергии и вновь установленных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73163" w:rsidRPr="00FD562B" w:rsidRDefault="00A73163" w:rsidP="00A73163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A73163" w:rsidRPr="00FD562B" w:rsidRDefault="00A73163" w:rsidP="00A73163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A73163" w:rsidRPr="00FD562B" w:rsidRDefault="00A73163" w:rsidP="00A73163">
            <w:pPr>
              <w:numPr>
                <w:ilvl w:val="0"/>
                <w:numId w:val="3"/>
              </w:numPr>
              <w:tabs>
                <w:tab w:val="left" w:pos="307"/>
              </w:tabs>
              <w:spacing w:before="240"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A73163" w:rsidRDefault="00A73163" w:rsidP="00A73163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Акты ввода в эксплуатацию (осмотра) приборов учета электроэнергии;</w:t>
            </w:r>
          </w:p>
          <w:p w:rsidR="00A73163" w:rsidRDefault="00A73163" w:rsidP="00A73163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Акты об отказе в допуске к прибору учета электрической энергии/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недопуска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помещение;</w:t>
            </w:r>
          </w:p>
          <w:p w:rsidR="00A73163" w:rsidRDefault="00A73163" w:rsidP="00A73163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учета;</w:t>
            </w:r>
          </w:p>
          <w:p w:rsidR="00A73163" w:rsidRPr="00FD562B" w:rsidRDefault="00A73163" w:rsidP="00A73163">
            <w:pPr>
              <w:numPr>
                <w:ilvl w:val="0"/>
                <w:numId w:val="4"/>
              </w:numPr>
              <w:tabs>
                <w:tab w:val="left" w:pos="307"/>
              </w:tabs>
              <w:spacing w:before="240" w:after="0" w:line="240" w:lineRule="auto"/>
              <w:ind w:left="21" w:firstLine="1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Акт осмотра приб</w:t>
            </w:r>
            <w:r w:rsidR="00D81135">
              <w:rPr>
                <w:rFonts w:ascii="Tahoma" w:hAnsi="Tahoma" w:cs="Tahoma"/>
                <w:sz w:val="20"/>
                <w:szCs w:val="20"/>
              </w:rPr>
              <w:t>ора учета электрической энергии</w:t>
            </w:r>
            <w:r w:rsidRPr="00FD562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A73163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hAnsi="Tahoma" w:cs="Tahoma"/>
                <w:sz w:val="20"/>
                <w:szCs w:val="20"/>
              </w:rPr>
              <w:t xml:space="preserve">- реестр актов о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недопуске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в жилое и (или) нежилое помещение, а также документы и материалы </w:t>
            </w:r>
            <w:r w:rsidRPr="00FD562B">
              <w:rPr>
                <w:rFonts w:ascii="Tahoma" w:hAnsi="Tahoma" w:cs="Tahoma"/>
                <w:sz w:val="20"/>
                <w:szCs w:val="20"/>
              </w:rPr>
              <w:lastRenderedPageBreak/>
              <w:t>подтверждающие своевременное уведомление потребителя о планируемых датах производства работ;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>реестр актов приема-передачи демонтированного оборудования потребителям;</w:t>
            </w:r>
          </w:p>
          <w:p w:rsidR="00A73163" w:rsidRPr="00FD562B" w:rsidRDefault="00A73163" w:rsidP="009A792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FD562B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FD562B">
              <w:rPr>
                <w:rFonts w:ascii="Tahoma" w:hAnsi="Tahoma" w:cs="Tahoma"/>
                <w:sz w:val="20"/>
                <w:szCs w:val="20"/>
              </w:rPr>
              <w:t xml:space="preserve">, совместно со скан-копиями Формуляров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ПУ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D562B">
              <w:rPr>
                <w:rFonts w:ascii="Tahoma" w:hAnsi="Tahoma" w:cs="Tahoma"/>
                <w:sz w:val="20"/>
                <w:szCs w:val="20"/>
              </w:rPr>
              <w:t>ИСУ</w:t>
            </w:r>
            <w:proofErr w:type="spellEnd"/>
            <w:r w:rsidRPr="00FD562B">
              <w:rPr>
                <w:rFonts w:ascii="Tahoma" w:hAnsi="Tahoma" w:cs="Tahoma"/>
                <w:sz w:val="20"/>
                <w:szCs w:val="20"/>
              </w:rPr>
              <w:t>, указанных в данных актах.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eastAsia="Times New Roman" w:cs="Tahoma"/>
                <w:szCs w:val="20"/>
              </w:rPr>
            </w:pPr>
            <w:r w:rsidRPr="00A31D49">
              <w:rPr>
                <w:rFonts w:eastAsia="Times New Roman" w:cs="Tahoma"/>
                <w:szCs w:val="20"/>
              </w:rPr>
              <w:t>Гарантийные обязательства</w:t>
            </w:r>
          </w:p>
        </w:tc>
        <w:tc>
          <w:tcPr>
            <w:tcW w:w="5796" w:type="dxa"/>
          </w:tcPr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A73163" w:rsidRPr="00FD562B" w:rsidRDefault="00A73163" w:rsidP="009A792A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FD562B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A73163" w:rsidRPr="00A31D49" w:rsidTr="009A792A">
        <w:tc>
          <w:tcPr>
            <w:tcW w:w="518" w:type="dxa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604" w:type="dxa"/>
            <w:hideMark/>
          </w:tcPr>
          <w:p w:rsidR="00A73163" w:rsidRPr="00A31D49" w:rsidRDefault="00A73163" w:rsidP="009A792A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A31D49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796" w:type="dxa"/>
            <w:hideMark/>
          </w:tcPr>
          <w:p w:rsidR="00A73163" w:rsidRPr="00FD562B" w:rsidRDefault="00A73163" w:rsidP="009A792A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1. График производства работ;</w:t>
            </w:r>
          </w:p>
          <w:p w:rsidR="00A73163" w:rsidRPr="00FD562B" w:rsidRDefault="00A73163" w:rsidP="009A792A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2. Ведомость объемов работ;</w:t>
            </w:r>
          </w:p>
          <w:p w:rsidR="00A73163" w:rsidRPr="00FD562B" w:rsidRDefault="00A73163" w:rsidP="009A792A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3. Перечень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ТМЦ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 необходимых для выполнения работ по договору;</w:t>
            </w:r>
          </w:p>
          <w:p w:rsidR="00A73163" w:rsidRPr="00FD562B" w:rsidRDefault="00A73163" w:rsidP="009A792A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eastAsia="Times New Roman" w:cs="Tahoma"/>
                <w:iCs/>
                <w:szCs w:val="20"/>
              </w:rPr>
            </w:pPr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 xml:space="preserve">4. Заявка на установку АРМ и предоставление дополнительных </w:t>
            </w:r>
            <w:proofErr w:type="spellStart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ИТ</w:t>
            </w:r>
            <w:proofErr w:type="spellEnd"/>
            <w:r w:rsidRPr="00FD562B">
              <w:rPr>
                <w:rFonts w:ascii="Tahoma" w:eastAsia="Times New Roman" w:hAnsi="Tahoma" w:cs="Tahoma"/>
                <w:sz w:val="20"/>
                <w:szCs w:val="20"/>
              </w:rPr>
              <w:t>-услуг из Каталога.</w:t>
            </w:r>
          </w:p>
        </w:tc>
      </w:tr>
    </w:tbl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№1</w:t>
      </w:r>
    </w:p>
    <w:p w:rsidR="00A73163" w:rsidRPr="00A31D49" w:rsidRDefault="00A73163" w:rsidP="00A73163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31D49">
        <w:rPr>
          <w:rFonts w:ascii="Arial" w:eastAsia="Times New Roman" w:hAnsi="Arial" w:cs="Arial"/>
          <w:b/>
          <w:bCs/>
          <w:sz w:val="24"/>
          <w:szCs w:val="24"/>
        </w:rPr>
        <w:t>График производства работ</w:t>
      </w:r>
    </w:p>
    <w:p w:rsidR="00A73163" w:rsidRPr="00A31D49" w:rsidRDefault="00A73163" w:rsidP="00A73163">
      <w:pPr>
        <w:rPr>
          <w:rFonts w:eastAsia="Times New Roman" w:cs="Times New Roman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693"/>
        <w:gridCol w:w="1842"/>
        <w:gridCol w:w="1276"/>
        <w:gridCol w:w="1168"/>
      </w:tblGrid>
      <w:tr w:rsidR="00A73163" w:rsidRPr="00A31D49" w:rsidTr="009A792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ind w:left="98" w:hanging="98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Кол-во,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</w:tr>
      <w:tr w:rsidR="00A73163" w:rsidRPr="00A31D49" w:rsidTr="009A792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Сроки выполнения работ определяются в Заявках на выполнение </w:t>
            </w:r>
            <w:proofErr w:type="gramStart"/>
            <w:r w:rsidRPr="00A31D49">
              <w:rPr>
                <w:rFonts w:ascii="Tahoma" w:hAnsi="Tahoma" w:cs="Tahoma"/>
                <w:sz w:val="16"/>
                <w:szCs w:val="18"/>
              </w:rPr>
              <w:t>работ  с</w:t>
            </w:r>
            <w:proofErr w:type="gramEnd"/>
            <w:r w:rsidRPr="00A31D49">
              <w:rPr>
                <w:rFonts w:ascii="Tahoma" w:hAnsi="Tahoma" w:cs="Tahoma"/>
                <w:sz w:val="16"/>
                <w:szCs w:val="18"/>
              </w:rPr>
              <w:t xml:space="preserve"> учетом </w:t>
            </w:r>
            <w:r w:rsidRPr="00A31D49">
              <w:rPr>
                <w:rFonts w:ascii="Tahoma" w:hAnsi="Tahoma" w:cs="Tahoma"/>
                <w:sz w:val="16"/>
                <w:szCs w:val="16"/>
              </w:rPr>
              <w:t xml:space="preserve">общего срока выполнения работ. </w:t>
            </w:r>
          </w:p>
          <w:p w:rsidR="00A73163" w:rsidRPr="00A31D49" w:rsidRDefault="00A73163" w:rsidP="009A792A">
            <w:pPr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 xml:space="preserve">начало выполнения работ -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не позднее 5 (пяти) рабочих дней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с момента заключения Сторонами Договора.</w:t>
            </w:r>
          </w:p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окончание </w:t>
            </w:r>
            <w:r w:rsidRPr="00A31D49">
              <w:rPr>
                <w:rFonts w:ascii="Tahoma" w:hAnsi="Tahoma" w:cs="Tahoma"/>
                <w:sz w:val="16"/>
                <w:szCs w:val="18"/>
              </w:rPr>
              <w:t xml:space="preserve">выполнения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работ – не позднее «</w:t>
            </w:r>
            <w:r w:rsidR="00FF3C5C">
              <w:rPr>
                <w:rFonts w:ascii="Tahoma" w:eastAsia="Times New Roman" w:hAnsi="Tahoma" w:cs="Tahoma"/>
                <w:sz w:val="16"/>
                <w:szCs w:val="16"/>
              </w:rPr>
              <w:t>31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» </w:t>
            </w:r>
            <w:r w:rsidR="00FF3C5C">
              <w:rPr>
                <w:rFonts w:ascii="Tahoma" w:eastAsia="Times New Roman" w:hAnsi="Tahoma" w:cs="Tahoma"/>
                <w:sz w:val="16"/>
                <w:szCs w:val="16"/>
              </w:rPr>
              <w:t>декабря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2024 г.</w:t>
            </w:r>
          </w:p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Многоквартирные дома</w:t>
            </w:r>
            <w:r w:rsidRPr="00636BDE">
              <w:rPr>
                <w:rFonts w:ascii="Tahoma" w:eastAsia="Times New Roman" w:hAnsi="Tahoma" w:cs="Tahoma"/>
                <w:sz w:val="16"/>
                <w:szCs w:val="16"/>
              </w:rPr>
              <w:t xml:space="preserve"> на территории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г. Ижевска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однофазного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ИСУ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6287</w:t>
            </w:r>
          </w:p>
        </w:tc>
      </w:tr>
      <w:tr w:rsidR="00A73163" w:rsidRPr="00A31D49" w:rsidTr="009A792A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ИСУ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175</w:t>
            </w:r>
          </w:p>
        </w:tc>
      </w:tr>
      <w:tr w:rsidR="00A73163" w:rsidRPr="00A31D49" w:rsidTr="009A792A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noWrap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трехфазного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ИСУ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116</w:t>
            </w:r>
          </w:p>
        </w:tc>
      </w:tr>
      <w:tr w:rsidR="00A73163" w:rsidRPr="00A31D49" w:rsidTr="009A792A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 xml:space="preserve">Замена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ТТ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348</w:t>
            </w:r>
          </w:p>
        </w:tc>
      </w:tr>
    </w:tbl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rPr>
          <w:rFonts w:eastAsia="Times New Roman" w:cs="Times New Roman"/>
          <w:lang w:val="en-US"/>
        </w:rPr>
      </w:pPr>
    </w:p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rPr>
          <w:rFonts w:eastAsia="Times New Roman" w:cs="Times New Roman"/>
        </w:rPr>
      </w:pPr>
    </w:p>
    <w:p w:rsidR="00A73163" w:rsidRDefault="00A73163" w:rsidP="00A73163">
      <w:pPr>
        <w:rPr>
          <w:rFonts w:eastAsia="Times New Roman" w:cs="Times New Roman"/>
        </w:rPr>
      </w:pPr>
    </w:p>
    <w:p w:rsidR="007F335D" w:rsidRDefault="007F335D" w:rsidP="00A73163">
      <w:pPr>
        <w:rPr>
          <w:rFonts w:eastAsia="Times New Roman" w:cs="Times New Roman"/>
        </w:rPr>
      </w:pPr>
    </w:p>
    <w:p w:rsidR="007F335D" w:rsidRDefault="007F335D" w:rsidP="00A73163">
      <w:pPr>
        <w:rPr>
          <w:rFonts w:eastAsia="Times New Roman" w:cs="Times New Roman"/>
        </w:rPr>
      </w:pPr>
    </w:p>
    <w:p w:rsidR="007F335D" w:rsidRDefault="007F335D" w:rsidP="00A73163">
      <w:pPr>
        <w:rPr>
          <w:rFonts w:eastAsia="Times New Roman" w:cs="Times New Roman"/>
        </w:rPr>
      </w:pPr>
    </w:p>
    <w:p w:rsidR="007F335D" w:rsidRDefault="007F335D" w:rsidP="00A73163">
      <w:pPr>
        <w:rPr>
          <w:rFonts w:eastAsia="Times New Roman" w:cs="Times New Roman"/>
        </w:rPr>
      </w:pPr>
    </w:p>
    <w:p w:rsidR="007F335D" w:rsidRDefault="007F335D" w:rsidP="00A73163">
      <w:pPr>
        <w:rPr>
          <w:rFonts w:eastAsia="Times New Roman" w:cs="Times New Roman"/>
        </w:rPr>
      </w:pPr>
    </w:p>
    <w:p w:rsidR="007F335D" w:rsidRPr="00A31D49" w:rsidRDefault="007F335D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№2</w:t>
      </w:r>
    </w:p>
    <w:p w:rsidR="00A73163" w:rsidRPr="00A31D49" w:rsidRDefault="00A73163" w:rsidP="00A7316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458"/>
        <w:gridCol w:w="1213"/>
        <w:gridCol w:w="3472"/>
        <w:gridCol w:w="1548"/>
        <w:gridCol w:w="1554"/>
        <w:gridCol w:w="1555"/>
      </w:tblGrid>
      <w:tr w:rsidR="00A73163" w:rsidRPr="00A31D49" w:rsidTr="009A792A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A73163" w:rsidRPr="00A31D49" w:rsidTr="009A792A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3163" w:rsidRPr="00A31D49" w:rsidRDefault="00A73163" w:rsidP="009A792A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A73163" w:rsidRPr="00A31D49" w:rsidTr="009A792A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№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Количество</w:t>
            </w:r>
          </w:p>
        </w:tc>
      </w:tr>
      <w:tr w:rsidR="00A73163" w:rsidRPr="00A31D49" w:rsidTr="009A792A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</w:tr>
      <w:tr w:rsidR="00A73163" w:rsidRPr="00A31D49" w:rsidTr="009A792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Однофазные </w:t>
            </w:r>
            <w:proofErr w:type="spellStart"/>
            <w:r w:rsidRPr="00A31D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ИПУ</w:t>
            </w:r>
            <w:proofErr w:type="spellEnd"/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2724BB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59,73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 жилых зданиях без расселения)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2724BB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3,14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ЭЭ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6287</w:t>
            </w:r>
          </w:p>
        </w:tc>
      </w:tr>
      <w:tr w:rsidR="00A73163" w:rsidRPr="00A31D49" w:rsidTr="009A792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highlight w:val="yellow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ИПУ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прямого включения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1,23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0,52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ЭЭ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175</w:t>
            </w:r>
          </w:p>
        </w:tc>
      </w:tr>
      <w:tr w:rsidR="00A73163" w:rsidRPr="00A31D49" w:rsidTr="009A792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Трехфазные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ИПУ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 xml:space="preserve"> включения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0,81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обьектов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находящихся под высоким напряжением)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0,35</w:t>
            </w:r>
          </w:p>
        </w:tc>
      </w:tr>
      <w:tr w:rsidR="00A73163" w:rsidRPr="00A31D49" w:rsidTr="009A792A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ЭЭ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СИМ карты в систему автоматического учета работ «Мобильный </w:t>
            </w: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контроллер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116</w:t>
            </w:r>
          </w:p>
        </w:tc>
      </w:tr>
      <w:tr w:rsidR="00A73163" w:rsidRPr="00A31D49" w:rsidTr="009A792A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 w:eastAsia="ru-RU"/>
              </w:rPr>
            </w:pPr>
          </w:p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A31D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Трансформаторы тока</w:t>
            </w:r>
          </w:p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73163" w:rsidRPr="00A31D49" w:rsidTr="009A792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Смена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243</w:t>
            </w:r>
          </w:p>
        </w:tc>
      </w:tr>
      <w:tr w:rsidR="00A73163" w:rsidRPr="00A31D49" w:rsidTr="009A792A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Default="00A73163" w:rsidP="009A792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Монтаж т</w:t>
            </w:r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рансформатор тока (демонтаж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-я,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предназнач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для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дальн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использования, с консервацией) (в жилых зданиях без расселения) (внутри работающих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ТП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электропомещениях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дейст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 эл. </w:t>
            </w: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</w:t>
            </w:r>
            <w:proofErr w:type="spellEnd"/>
            <w:r w:rsidRPr="00A31D4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eastAsia="Times New Roman" w:hAnsi="Tahoma" w:cs="Tahoma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105</w:t>
            </w:r>
          </w:p>
        </w:tc>
      </w:tr>
    </w:tbl>
    <w:p w:rsidR="00A73163" w:rsidRPr="00A31D49" w:rsidRDefault="00A73163" w:rsidP="00A7316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№3</w:t>
      </w:r>
    </w:p>
    <w:p w:rsidR="00A73163" w:rsidRPr="00A31D49" w:rsidRDefault="00A73163" w:rsidP="00A73163">
      <w:pPr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A31D49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proofErr w:type="spellStart"/>
      <w:r w:rsidRPr="00A31D49">
        <w:rPr>
          <w:rFonts w:ascii="Tahoma" w:eastAsia="Times New Roman" w:hAnsi="Tahoma" w:cs="Tahoma"/>
          <w:b/>
          <w:iCs/>
          <w:sz w:val="20"/>
          <w:szCs w:val="20"/>
        </w:rPr>
        <w:t>ТМЦ</w:t>
      </w:r>
      <w:proofErr w:type="spellEnd"/>
      <w:r w:rsidRPr="00A31D49">
        <w:rPr>
          <w:rFonts w:ascii="Tahoma" w:eastAsia="Times New Roman" w:hAnsi="Tahoma" w:cs="Tahoma"/>
          <w:b/>
          <w:iCs/>
          <w:sz w:val="20"/>
          <w:szCs w:val="20"/>
        </w:rPr>
        <w:t xml:space="preserve">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A73163" w:rsidRPr="00A31D49" w:rsidTr="009A792A">
        <w:trPr>
          <w:jc w:val="center"/>
        </w:trPr>
        <w:tc>
          <w:tcPr>
            <w:tcW w:w="755" w:type="dxa"/>
            <w:vAlign w:val="center"/>
          </w:tcPr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Единица</w:t>
            </w:r>
          </w:p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A73163" w:rsidRPr="00A31D49" w:rsidRDefault="00A73163" w:rsidP="009A792A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sz w:val="16"/>
                <w:szCs w:val="16"/>
              </w:rPr>
            </w:pPr>
            <w:r w:rsidRPr="00A31D49">
              <w:rPr>
                <w:rFonts w:ascii="Tahoma" w:eastAsiaTheme="majorEastAsia" w:hAnsi="Tahoma" w:cs="Tahoma"/>
                <w:sz w:val="16"/>
                <w:szCs w:val="16"/>
              </w:rPr>
              <w:t>Примечание</w:t>
            </w:r>
          </w:p>
        </w:tc>
      </w:tr>
      <w:tr w:rsidR="00A73163" w:rsidRPr="00A31D49" w:rsidTr="009A792A">
        <w:trPr>
          <w:trHeight w:val="567"/>
          <w:jc w:val="center"/>
        </w:trPr>
        <w:tc>
          <w:tcPr>
            <w:tcW w:w="755" w:type="dxa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73163" w:rsidRPr="00A31D49" w:rsidRDefault="00006CA8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</w:t>
            </w:r>
            <w:r w:rsidR="00A73163"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6287</w:t>
            </w:r>
          </w:p>
        </w:tc>
        <w:tc>
          <w:tcPr>
            <w:tcW w:w="1579" w:type="dxa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предоставляет Подрядчику Заказчик</w:t>
            </w:r>
          </w:p>
        </w:tc>
      </w:tr>
      <w:tr w:rsidR="00A73163" w:rsidRPr="00A31D49" w:rsidTr="009A792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2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73163" w:rsidRPr="00A31D49" w:rsidRDefault="00006CA8" w:rsidP="00006CA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="00A73163" w:rsidRPr="00A31D49">
              <w:rPr>
                <w:rFonts w:ascii="Tahoma" w:hAnsi="Tahoma" w:cs="Tahoma"/>
                <w:sz w:val="16"/>
                <w:szCs w:val="16"/>
              </w:rPr>
              <w:t>фазный прямого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175</w:t>
            </w:r>
          </w:p>
        </w:tc>
        <w:tc>
          <w:tcPr>
            <w:tcW w:w="1579" w:type="dxa"/>
            <w:shd w:val="clear" w:color="auto" w:fill="FFFFFF" w:themeFill="background1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предоставляет Подрядчику Заказчик</w:t>
            </w:r>
          </w:p>
        </w:tc>
      </w:tr>
      <w:tr w:rsidR="00A73163" w:rsidRPr="00A31D49" w:rsidTr="009A792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3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Интеллектуальный прибор учета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ээ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A73163" w:rsidRPr="00A31D49" w:rsidRDefault="00006CA8" w:rsidP="00006EA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Трех</w:t>
            </w:r>
            <w:r w:rsidRPr="00A31D49">
              <w:rPr>
                <w:rFonts w:ascii="Tahoma" w:hAnsi="Tahoma" w:cs="Tahoma"/>
                <w:sz w:val="16"/>
                <w:szCs w:val="16"/>
              </w:rPr>
              <w:t>фазный</w:t>
            </w:r>
            <w:r w:rsidR="00A73163" w:rsidRPr="00A31D49">
              <w:rPr>
                <w:rFonts w:ascii="Tahoma" w:hAnsi="Tahoma" w:cs="Tahoma"/>
                <w:sz w:val="16"/>
                <w:szCs w:val="16"/>
              </w:rPr>
              <w:t xml:space="preserve"> трансформаторного включения со смонтированной сим-картой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116</w:t>
            </w:r>
          </w:p>
        </w:tc>
        <w:tc>
          <w:tcPr>
            <w:tcW w:w="1579" w:type="dxa"/>
            <w:shd w:val="clear" w:color="auto" w:fill="FFFFFF" w:themeFill="background1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предоставляет Подрядчику Заказчик</w:t>
            </w:r>
          </w:p>
        </w:tc>
      </w:tr>
      <w:tr w:rsidR="00A73163" w:rsidRPr="00A31D49" w:rsidTr="009A792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Трансформаторы тока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ТШП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– 0,66, 0,5</w:t>
            </w:r>
            <w:r w:rsidRPr="00A31D49">
              <w:rPr>
                <w:rFonts w:ascii="Tahoma" w:hAnsi="Tahoma" w:cs="Tahoma"/>
                <w:sz w:val="16"/>
                <w:szCs w:val="16"/>
                <w:lang w:val="en-US"/>
              </w:rPr>
              <w:t>S</w:t>
            </w:r>
            <w:r w:rsidRPr="00A31D49">
              <w:rPr>
                <w:rFonts w:ascii="Tahoma" w:hAnsi="Tahoma" w:cs="Tahoma"/>
                <w:sz w:val="16"/>
                <w:szCs w:val="16"/>
              </w:rPr>
              <w:t>,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348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предоставляет Подрядчику Заказчик</w:t>
            </w:r>
          </w:p>
        </w:tc>
      </w:tr>
      <w:tr w:rsidR="00A73163" w:rsidRPr="00A31D49" w:rsidTr="009A792A">
        <w:trPr>
          <w:trHeight w:val="567"/>
          <w:jc w:val="center"/>
        </w:trPr>
        <w:tc>
          <w:tcPr>
            <w:tcW w:w="755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Пломба-наклейка</w:t>
            </w:r>
          </w:p>
        </w:tc>
        <w:tc>
          <w:tcPr>
            <w:tcW w:w="1281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11825</w:t>
            </w:r>
          </w:p>
        </w:tc>
        <w:tc>
          <w:tcPr>
            <w:tcW w:w="1579" w:type="dxa"/>
            <w:shd w:val="clear" w:color="auto" w:fill="FFFFFF" w:themeFill="background1"/>
            <w:vAlign w:val="center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предоставляет Подрядчику Заказчик</w:t>
            </w:r>
          </w:p>
        </w:tc>
      </w:tr>
      <w:tr w:rsidR="00A73163" w:rsidRPr="00A31D49" w:rsidTr="009A792A">
        <w:tblPrEx>
          <w:jc w:val="left"/>
        </w:tblPrEx>
        <w:trPr>
          <w:trHeight w:val="567"/>
        </w:trPr>
        <w:tc>
          <w:tcPr>
            <w:tcW w:w="755" w:type="dxa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D49">
              <w:rPr>
                <w:rFonts w:ascii="Tahoma" w:hAnsi="Tahoma" w:cs="Tahoma"/>
                <w:sz w:val="16"/>
                <w:szCs w:val="16"/>
              </w:rPr>
              <w:t xml:space="preserve">Прочие </w:t>
            </w: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>, необходимые для выполнения работ (монтажные материалы)</w:t>
            </w:r>
          </w:p>
        </w:tc>
        <w:tc>
          <w:tcPr>
            <w:tcW w:w="1281" w:type="dxa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0" w:type="dxa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79" w:type="dxa"/>
          </w:tcPr>
          <w:p w:rsidR="00A73163" w:rsidRPr="00A31D49" w:rsidRDefault="00A73163" w:rsidP="009A792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A31D49">
              <w:rPr>
                <w:rFonts w:ascii="Tahoma" w:hAnsi="Tahoma" w:cs="Tahoma"/>
                <w:sz w:val="16"/>
                <w:szCs w:val="16"/>
              </w:rPr>
              <w:t>ТМЦ</w:t>
            </w:r>
            <w:proofErr w:type="spellEnd"/>
            <w:r w:rsidRPr="00A31D49">
              <w:rPr>
                <w:rFonts w:ascii="Tahoma" w:hAnsi="Tahoma" w:cs="Tahoma"/>
                <w:sz w:val="16"/>
                <w:szCs w:val="16"/>
              </w:rPr>
              <w:t xml:space="preserve"> иждивением Подрядчика</w:t>
            </w:r>
          </w:p>
        </w:tc>
      </w:tr>
    </w:tbl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Default="00A73163" w:rsidP="00A73163">
      <w:pPr>
        <w:jc w:val="center"/>
        <w:rPr>
          <w:rFonts w:eastAsia="Times New Roman" w:cs="Times New Roman"/>
        </w:rPr>
      </w:pPr>
    </w:p>
    <w:p w:rsidR="00C212EB" w:rsidRPr="00A31D49" w:rsidRDefault="00C212EB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Default="00A73163" w:rsidP="00A73163">
      <w:pPr>
        <w:rPr>
          <w:rFonts w:ascii="Tahoma" w:eastAsia="Times New Roman" w:hAnsi="Tahoma" w:cs="Tahoma"/>
          <w:b/>
          <w:i/>
          <w:sz w:val="20"/>
          <w:szCs w:val="20"/>
        </w:rPr>
      </w:pPr>
    </w:p>
    <w:p w:rsidR="00A73163" w:rsidRPr="00A31D49" w:rsidRDefault="00A73163" w:rsidP="00A73163">
      <w:pPr>
        <w:rPr>
          <w:rFonts w:ascii="Tahoma" w:eastAsia="Times New Roman" w:hAnsi="Tahoma" w:cs="Tahoma"/>
          <w:b/>
          <w:i/>
          <w:sz w:val="20"/>
          <w:szCs w:val="20"/>
        </w:rPr>
      </w:pPr>
    </w:p>
    <w:p w:rsidR="00A73163" w:rsidRPr="00A31D49" w:rsidRDefault="00A73163" w:rsidP="00A73163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A31D49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№4</w:t>
      </w:r>
    </w:p>
    <w:p w:rsidR="00A73163" w:rsidRPr="00A31D49" w:rsidRDefault="00A73163" w:rsidP="00A73163">
      <w:pPr>
        <w:jc w:val="center"/>
        <w:rPr>
          <w:rFonts w:eastAsia="Times New Roman" w:cs="Times New Roman"/>
        </w:rPr>
      </w:pPr>
    </w:p>
    <w:p w:rsidR="00A73163" w:rsidRPr="00A31D49" w:rsidRDefault="00A73163" w:rsidP="00A73163">
      <w:pPr>
        <w:jc w:val="center"/>
        <w:rPr>
          <w:rFonts w:ascii="Tahoma" w:eastAsia="Times New Roman" w:hAnsi="Tahoma" w:cs="Tahoma"/>
          <w:b/>
          <w:i/>
          <w:sz w:val="20"/>
          <w:szCs w:val="20"/>
        </w:rPr>
      </w:pPr>
      <w:r w:rsidRPr="00A31D49">
        <w:rPr>
          <w:rFonts w:ascii="Tahoma" w:eastAsia="Times New Roman" w:hAnsi="Tahoma" w:cs="Tahoma"/>
          <w:b/>
          <w:i/>
          <w:sz w:val="20"/>
          <w:szCs w:val="20"/>
        </w:rPr>
        <w:t xml:space="preserve">Заявка на установку АРМ и предоставление дополнительных </w:t>
      </w:r>
      <w:proofErr w:type="spellStart"/>
      <w:r w:rsidRPr="00A31D49">
        <w:rPr>
          <w:rFonts w:ascii="Tahoma" w:eastAsia="Times New Roman" w:hAnsi="Tahoma" w:cs="Tahoma"/>
          <w:b/>
          <w:i/>
          <w:sz w:val="20"/>
          <w:szCs w:val="20"/>
        </w:rPr>
        <w:t>ИТ</w:t>
      </w:r>
      <w:proofErr w:type="spellEnd"/>
      <w:r w:rsidRPr="00A31D49">
        <w:rPr>
          <w:rFonts w:ascii="Tahoma" w:eastAsia="Times New Roman" w:hAnsi="Tahoma" w:cs="Tahoma"/>
          <w:b/>
          <w:i/>
          <w:sz w:val="20"/>
          <w:szCs w:val="20"/>
        </w:rPr>
        <w:t>-услуг из Каталога</w:t>
      </w:r>
    </w:p>
    <w:p w:rsidR="009F0D52" w:rsidRDefault="00A73163" w:rsidP="00A73163">
      <w:r w:rsidRPr="00A31D49">
        <w:rPr>
          <w:rFonts w:eastAsia="Times New Roman" w:cs="Times New Roman"/>
          <w:noProof/>
          <w:lang w:eastAsia="ru-RU"/>
        </w:rPr>
        <w:drawing>
          <wp:inline distT="0" distB="0" distL="0" distR="0" wp14:anchorId="043F610D" wp14:editId="0E7AED64">
            <wp:extent cx="5943600" cy="6145618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08" cy="6146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0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82"/>
    <w:rsid w:val="00001CA7"/>
    <w:rsid w:val="00006CA8"/>
    <w:rsid w:val="00006EAB"/>
    <w:rsid w:val="0001783A"/>
    <w:rsid w:val="00035E1F"/>
    <w:rsid w:val="00044572"/>
    <w:rsid w:val="00060C38"/>
    <w:rsid w:val="000827A8"/>
    <w:rsid w:val="000B1AC7"/>
    <w:rsid w:val="000D2B44"/>
    <w:rsid w:val="000E5022"/>
    <w:rsid w:val="00102777"/>
    <w:rsid w:val="00111E0F"/>
    <w:rsid w:val="0012743C"/>
    <w:rsid w:val="00136F2A"/>
    <w:rsid w:val="00143D00"/>
    <w:rsid w:val="00144ABB"/>
    <w:rsid w:val="00156EC0"/>
    <w:rsid w:val="00173D53"/>
    <w:rsid w:val="001954F5"/>
    <w:rsid w:val="001969E7"/>
    <w:rsid w:val="001973E1"/>
    <w:rsid w:val="001C55AB"/>
    <w:rsid w:val="001E2090"/>
    <w:rsid w:val="001E4765"/>
    <w:rsid w:val="001F5083"/>
    <w:rsid w:val="00230E69"/>
    <w:rsid w:val="00235D09"/>
    <w:rsid w:val="002509B2"/>
    <w:rsid w:val="002724BB"/>
    <w:rsid w:val="00272BEE"/>
    <w:rsid w:val="00276381"/>
    <w:rsid w:val="002827D6"/>
    <w:rsid w:val="00285593"/>
    <w:rsid w:val="0028637B"/>
    <w:rsid w:val="00293677"/>
    <w:rsid w:val="0029447B"/>
    <w:rsid w:val="0029680F"/>
    <w:rsid w:val="002A476F"/>
    <w:rsid w:val="002A7ABE"/>
    <w:rsid w:val="002F77BB"/>
    <w:rsid w:val="00305567"/>
    <w:rsid w:val="00347E89"/>
    <w:rsid w:val="00353AED"/>
    <w:rsid w:val="00356B94"/>
    <w:rsid w:val="00366382"/>
    <w:rsid w:val="003840B7"/>
    <w:rsid w:val="00394140"/>
    <w:rsid w:val="003944BF"/>
    <w:rsid w:val="003C1958"/>
    <w:rsid w:val="003D1E70"/>
    <w:rsid w:val="003E3C38"/>
    <w:rsid w:val="003F1B2D"/>
    <w:rsid w:val="003F1E39"/>
    <w:rsid w:val="0040489D"/>
    <w:rsid w:val="00405984"/>
    <w:rsid w:val="0040664E"/>
    <w:rsid w:val="00422B02"/>
    <w:rsid w:val="00426581"/>
    <w:rsid w:val="00436C7B"/>
    <w:rsid w:val="00450F0A"/>
    <w:rsid w:val="00461C4C"/>
    <w:rsid w:val="004666F1"/>
    <w:rsid w:val="00480FD1"/>
    <w:rsid w:val="00486AFB"/>
    <w:rsid w:val="004C4990"/>
    <w:rsid w:val="004D53B7"/>
    <w:rsid w:val="004F110E"/>
    <w:rsid w:val="00506307"/>
    <w:rsid w:val="00511F2F"/>
    <w:rsid w:val="00527242"/>
    <w:rsid w:val="00535FB8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65CAD"/>
    <w:rsid w:val="006663BD"/>
    <w:rsid w:val="0067067C"/>
    <w:rsid w:val="00685BA5"/>
    <w:rsid w:val="006879B4"/>
    <w:rsid w:val="00687BD1"/>
    <w:rsid w:val="006940E0"/>
    <w:rsid w:val="006954FD"/>
    <w:rsid w:val="006A2AB4"/>
    <w:rsid w:val="006B334A"/>
    <w:rsid w:val="006B372D"/>
    <w:rsid w:val="006B5181"/>
    <w:rsid w:val="006E24A3"/>
    <w:rsid w:val="006F2874"/>
    <w:rsid w:val="00707642"/>
    <w:rsid w:val="00725FC2"/>
    <w:rsid w:val="00742B46"/>
    <w:rsid w:val="00752072"/>
    <w:rsid w:val="0076005B"/>
    <w:rsid w:val="007710AE"/>
    <w:rsid w:val="00774AB2"/>
    <w:rsid w:val="00780F83"/>
    <w:rsid w:val="007859BB"/>
    <w:rsid w:val="00795730"/>
    <w:rsid w:val="0079630F"/>
    <w:rsid w:val="00797EBF"/>
    <w:rsid w:val="007A3588"/>
    <w:rsid w:val="007B3888"/>
    <w:rsid w:val="007C08D8"/>
    <w:rsid w:val="007D7295"/>
    <w:rsid w:val="007D7383"/>
    <w:rsid w:val="007E5D19"/>
    <w:rsid w:val="007F335D"/>
    <w:rsid w:val="007F72F9"/>
    <w:rsid w:val="00801576"/>
    <w:rsid w:val="00802D9F"/>
    <w:rsid w:val="00805678"/>
    <w:rsid w:val="00806A8E"/>
    <w:rsid w:val="008205E1"/>
    <w:rsid w:val="0083093A"/>
    <w:rsid w:val="00832558"/>
    <w:rsid w:val="008375DF"/>
    <w:rsid w:val="00842210"/>
    <w:rsid w:val="0085620B"/>
    <w:rsid w:val="008566F5"/>
    <w:rsid w:val="00872233"/>
    <w:rsid w:val="00885FAB"/>
    <w:rsid w:val="008967CB"/>
    <w:rsid w:val="008B2695"/>
    <w:rsid w:val="008B27DB"/>
    <w:rsid w:val="008C27C3"/>
    <w:rsid w:val="008C79D3"/>
    <w:rsid w:val="008D1598"/>
    <w:rsid w:val="008E1569"/>
    <w:rsid w:val="008F23DA"/>
    <w:rsid w:val="008F354B"/>
    <w:rsid w:val="009176D9"/>
    <w:rsid w:val="00917D43"/>
    <w:rsid w:val="0093151A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73163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024FE"/>
    <w:rsid w:val="00B1666E"/>
    <w:rsid w:val="00B16A4E"/>
    <w:rsid w:val="00B23E86"/>
    <w:rsid w:val="00B27F94"/>
    <w:rsid w:val="00B32AB9"/>
    <w:rsid w:val="00B47F0B"/>
    <w:rsid w:val="00B71686"/>
    <w:rsid w:val="00BB687E"/>
    <w:rsid w:val="00BD4D6E"/>
    <w:rsid w:val="00BF7FD9"/>
    <w:rsid w:val="00C154DF"/>
    <w:rsid w:val="00C212EB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113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5573"/>
    <w:rsid w:val="00E908A0"/>
    <w:rsid w:val="00EA7499"/>
    <w:rsid w:val="00EC1F8A"/>
    <w:rsid w:val="00ED1C11"/>
    <w:rsid w:val="00EF691E"/>
    <w:rsid w:val="00F10582"/>
    <w:rsid w:val="00F13D00"/>
    <w:rsid w:val="00F23207"/>
    <w:rsid w:val="00F24165"/>
    <w:rsid w:val="00F255CA"/>
    <w:rsid w:val="00F3252A"/>
    <w:rsid w:val="00F32FA3"/>
    <w:rsid w:val="00F3326E"/>
    <w:rsid w:val="00F515FC"/>
    <w:rsid w:val="00F53999"/>
    <w:rsid w:val="00F61DE0"/>
    <w:rsid w:val="00F62D5B"/>
    <w:rsid w:val="00F746DF"/>
    <w:rsid w:val="00F917C5"/>
    <w:rsid w:val="00FC38DB"/>
    <w:rsid w:val="00FC3BFC"/>
    <w:rsid w:val="00FC3EC2"/>
    <w:rsid w:val="00FC470D"/>
    <w:rsid w:val="00FC7BDA"/>
    <w:rsid w:val="00FF1AA5"/>
    <w:rsid w:val="00FF3C5C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5B58B"/>
  <w15:chartTrackingRefBased/>
  <w15:docId w15:val="{176777E6-CD8A-4505-A03B-12A34898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1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A7316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A7316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7316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A731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A7316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A731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A7316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18</Pages>
  <Words>5836</Words>
  <Characters>33267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Макшаков Вадим Владимирович</cp:lastModifiedBy>
  <cp:revision>16</cp:revision>
  <dcterms:created xsi:type="dcterms:W3CDTF">2023-11-29T07:25:00Z</dcterms:created>
  <dcterms:modified xsi:type="dcterms:W3CDTF">2023-12-26T06:45:00Z</dcterms:modified>
</cp:coreProperties>
</file>